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FC8" w:rsidRDefault="00C84FC8"/>
    <w:p w:rsidR="00593977" w:rsidRPr="006672EC" w:rsidRDefault="00BB6975">
      <w:pPr>
        <w:rPr>
          <w:b/>
          <w:sz w:val="32"/>
          <w:szCs w:val="32"/>
        </w:rPr>
      </w:pPr>
      <w:r w:rsidRPr="006672EC">
        <w:rPr>
          <w:b/>
          <w:sz w:val="32"/>
          <w:szCs w:val="32"/>
        </w:rPr>
        <w:t xml:space="preserve">Frequently </w:t>
      </w:r>
      <w:r w:rsidR="006672EC" w:rsidRPr="006672EC">
        <w:rPr>
          <w:b/>
          <w:sz w:val="32"/>
          <w:szCs w:val="32"/>
        </w:rPr>
        <w:t>Asked</w:t>
      </w:r>
      <w:r w:rsidRPr="006672EC">
        <w:rPr>
          <w:b/>
          <w:sz w:val="32"/>
          <w:szCs w:val="32"/>
        </w:rPr>
        <w:t xml:space="preserve"> Questions about Pathway 1</w:t>
      </w:r>
    </w:p>
    <w:tbl>
      <w:tblPr>
        <w:tblStyle w:val="TableGrid"/>
        <w:tblW w:w="0" w:type="auto"/>
        <w:tblLook w:val="04A0" w:firstRow="1" w:lastRow="0" w:firstColumn="1" w:lastColumn="0" w:noHBand="0" w:noVBand="1"/>
      </w:tblPr>
      <w:tblGrid>
        <w:gridCol w:w="2417"/>
        <w:gridCol w:w="5942"/>
        <w:gridCol w:w="5103"/>
      </w:tblGrid>
      <w:tr w:rsidR="006672EC" w:rsidTr="00DB1389">
        <w:tc>
          <w:tcPr>
            <w:tcW w:w="2417" w:type="dxa"/>
          </w:tcPr>
          <w:p w:rsidR="006672EC" w:rsidRPr="006672EC" w:rsidRDefault="006672EC">
            <w:pPr>
              <w:rPr>
                <w:b/>
              </w:rPr>
            </w:pPr>
            <w:r w:rsidRPr="006672EC">
              <w:rPr>
                <w:b/>
              </w:rPr>
              <w:t xml:space="preserve">Question </w:t>
            </w:r>
          </w:p>
        </w:tc>
        <w:tc>
          <w:tcPr>
            <w:tcW w:w="5942" w:type="dxa"/>
          </w:tcPr>
          <w:p w:rsidR="006672EC" w:rsidRPr="006672EC" w:rsidRDefault="006672EC">
            <w:pPr>
              <w:rPr>
                <w:b/>
              </w:rPr>
            </w:pPr>
            <w:r w:rsidRPr="006672EC">
              <w:rPr>
                <w:b/>
              </w:rPr>
              <w:t>Answer</w:t>
            </w:r>
          </w:p>
        </w:tc>
        <w:tc>
          <w:tcPr>
            <w:tcW w:w="5103" w:type="dxa"/>
          </w:tcPr>
          <w:p w:rsidR="006672EC" w:rsidRPr="006672EC" w:rsidRDefault="006672EC">
            <w:pPr>
              <w:rPr>
                <w:b/>
              </w:rPr>
            </w:pPr>
            <w:r w:rsidRPr="006672EC">
              <w:rPr>
                <w:b/>
              </w:rPr>
              <w:t>Other comments</w:t>
            </w:r>
          </w:p>
        </w:tc>
      </w:tr>
      <w:tr w:rsidR="00593977" w:rsidTr="00DB1389">
        <w:tc>
          <w:tcPr>
            <w:tcW w:w="2417" w:type="dxa"/>
          </w:tcPr>
          <w:p w:rsidR="00593977" w:rsidRDefault="006672EC">
            <w:r>
              <w:t>Start Date</w:t>
            </w:r>
          </w:p>
        </w:tc>
        <w:tc>
          <w:tcPr>
            <w:tcW w:w="5942" w:type="dxa"/>
          </w:tcPr>
          <w:p w:rsidR="00593977" w:rsidRDefault="006672EC">
            <w:r>
              <w:t>4 May</w:t>
            </w:r>
          </w:p>
        </w:tc>
        <w:tc>
          <w:tcPr>
            <w:tcW w:w="5103" w:type="dxa"/>
          </w:tcPr>
          <w:p w:rsidR="00593977" w:rsidRDefault="006672EC">
            <w:r>
              <w:t>No due dates before 8 May</w:t>
            </w:r>
          </w:p>
        </w:tc>
      </w:tr>
      <w:tr w:rsidR="00593977" w:rsidTr="00DB1389">
        <w:tc>
          <w:tcPr>
            <w:tcW w:w="2417" w:type="dxa"/>
          </w:tcPr>
          <w:p w:rsidR="00593977" w:rsidRDefault="006672EC">
            <w:r>
              <w:t xml:space="preserve">Duration </w:t>
            </w:r>
          </w:p>
        </w:tc>
        <w:tc>
          <w:tcPr>
            <w:tcW w:w="5942" w:type="dxa"/>
          </w:tcPr>
          <w:p w:rsidR="00593977" w:rsidRDefault="006672EC">
            <w:r>
              <w:t>30 teaching days =6 weeks</w:t>
            </w:r>
          </w:p>
        </w:tc>
        <w:tc>
          <w:tcPr>
            <w:tcW w:w="5103" w:type="dxa"/>
          </w:tcPr>
          <w:p w:rsidR="00593977" w:rsidRDefault="00593977"/>
        </w:tc>
      </w:tr>
      <w:tr w:rsidR="00593977" w:rsidTr="00DB1389">
        <w:tc>
          <w:tcPr>
            <w:tcW w:w="2417" w:type="dxa"/>
          </w:tcPr>
          <w:p w:rsidR="00593977" w:rsidRDefault="000F4848">
            <w:r>
              <w:t xml:space="preserve">What happens between </w:t>
            </w:r>
            <w:r w:rsidR="006672EC">
              <w:t>20 – 30 April?</w:t>
            </w:r>
          </w:p>
        </w:tc>
        <w:tc>
          <w:tcPr>
            <w:tcW w:w="5942" w:type="dxa"/>
          </w:tcPr>
          <w:p w:rsidR="00593977" w:rsidRDefault="006672EC">
            <w:r>
              <w:t>Engage with students to find out what access they have.</w:t>
            </w:r>
          </w:p>
          <w:p w:rsidR="006672EC" w:rsidRDefault="006672EC">
            <w:r>
              <w:t xml:space="preserve">Try and identify </w:t>
            </w:r>
            <w:r w:rsidR="004459A8">
              <w:t>PW</w:t>
            </w:r>
            <w:r>
              <w:t>1 students.</w:t>
            </w:r>
          </w:p>
          <w:p w:rsidR="006672EC" w:rsidRDefault="006672EC">
            <w:r>
              <w:t>Digital readiness learning begins in students own time</w:t>
            </w:r>
          </w:p>
          <w:p w:rsidR="006672EC" w:rsidRDefault="006672EC">
            <w:r>
              <w:t xml:space="preserve">Activate Moodle site and start revision </w:t>
            </w:r>
          </w:p>
        </w:tc>
        <w:tc>
          <w:tcPr>
            <w:tcW w:w="5103" w:type="dxa"/>
          </w:tcPr>
          <w:p w:rsidR="00593977" w:rsidRDefault="006672EC">
            <w:r>
              <w:rPr>
                <w:rFonts w:eastAsia="Times New Roman"/>
                <w:color w:val="000000"/>
                <w:sz w:val="24"/>
                <w:szCs w:val="24"/>
              </w:rPr>
              <w:t>It will be a "slow start" however in the sense that it is about orientating students to the way that the module and its assessments will work</w:t>
            </w:r>
          </w:p>
        </w:tc>
      </w:tr>
      <w:tr w:rsidR="00593977" w:rsidTr="00DB1389">
        <w:tc>
          <w:tcPr>
            <w:tcW w:w="2417" w:type="dxa"/>
          </w:tcPr>
          <w:p w:rsidR="00593977" w:rsidRDefault="006672EC">
            <w:r>
              <w:t>How many hours per week</w:t>
            </w:r>
            <w:r w:rsidR="000F4848">
              <w:t xml:space="preserve"> should students spend on work</w:t>
            </w:r>
            <w:r>
              <w:t>?</w:t>
            </w:r>
          </w:p>
        </w:tc>
        <w:tc>
          <w:tcPr>
            <w:tcW w:w="5942" w:type="dxa"/>
          </w:tcPr>
          <w:p w:rsidR="00593977" w:rsidRDefault="006672EC">
            <w:proofErr w:type="spellStart"/>
            <w:r>
              <w:t>Approx</w:t>
            </w:r>
            <w:proofErr w:type="spellEnd"/>
            <w:r>
              <w:t xml:space="preserve"> 5 hours per week per module</w:t>
            </w:r>
          </w:p>
        </w:tc>
        <w:tc>
          <w:tcPr>
            <w:tcW w:w="5103" w:type="dxa"/>
          </w:tcPr>
          <w:p w:rsidR="006672EC" w:rsidRDefault="006672EC" w:rsidP="006672EC">
            <w:pPr>
              <w:rPr>
                <w:rFonts w:eastAsia="Times New Roman"/>
                <w:color w:val="000000"/>
                <w:sz w:val="24"/>
                <w:szCs w:val="24"/>
              </w:rPr>
            </w:pPr>
            <w:r>
              <w:rPr>
                <w:rFonts w:eastAsia="Times New Roman"/>
                <w:color w:val="000000"/>
                <w:sz w:val="24"/>
                <w:szCs w:val="24"/>
              </w:rPr>
              <w:t>Calibrate the pace of work so that the plan fits in with these timelines. For example, "by the end of Week 1, on 8 May, you should have gained a good understanding of xxx concepts and be able to .....". </w:t>
            </w:r>
          </w:p>
          <w:p w:rsidR="00593977" w:rsidRDefault="00593977"/>
        </w:tc>
      </w:tr>
      <w:tr w:rsidR="00593977" w:rsidTr="00DB1389">
        <w:tc>
          <w:tcPr>
            <w:tcW w:w="2417" w:type="dxa"/>
          </w:tcPr>
          <w:p w:rsidR="00DB1389" w:rsidRPr="00DB1389" w:rsidRDefault="00DB1389" w:rsidP="00DB1389">
            <w:pPr>
              <w:rPr>
                <w:rFonts w:eastAsia="Times New Roman"/>
              </w:rPr>
            </w:pPr>
            <w:r w:rsidRPr="00DB1389">
              <w:rPr>
                <w:rFonts w:eastAsia="Times New Roman"/>
                <w:color w:val="000000"/>
                <w:sz w:val="24"/>
                <w:szCs w:val="24"/>
              </w:rPr>
              <w:t>How can these students be identified as PW1 or PW2</w:t>
            </w:r>
            <w:r>
              <w:rPr>
                <w:rFonts w:eastAsia="Times New Roman"/>
                <w:color w:val="000000"/>
                <w:sz w:val="24"/>
                <w:szCs w:val="24"/>
              </w:rPr>
              <w:t>?</w:t>
            </w:r>
          </w:p>
          <w:p w:rsidR="00593977" w:rsidRDefault="00593977"/>
        </w:tc>
        <w:tc>
          <w:tcPr>
            <w:tcW w:w="5942" w:type="dxa"/>
          </w:tcPr>
          <w:p w:rsidR="00593977" w:rsidRDefault="00DB1389">
            <w:r>
              <w:t>No real need to do this as marks can only be entered once per assessment anyway.</w:t>
            </w:r>
          </w:p>
        </w:tc>
        <w:tc>
          <w:tcPr>
            <w:tcW w:w="5103" w:type="dxa"/>
          </w:tcPr>
          <w:p w:rsidR="00DB1389" w:rsidRPr="00DB1389" w:rsidRDefault="00DB1389" w:rsidP="00DB1389">
            <w:r w:rsidRPr="00DB1389">
              <w:t>In some cases, lecturers have already engaged with students on WhatsApp for example or through a survey and have a sense of which students will be joining the respective pathways.</w:t>
            </w:r>
          </w:p>
          <w:p w:rsidR="00DB1389" w:rsidRPr="00DB1389" w:rsidRDefault="00DB1389" w:rsidP="00DB1389"/>
          <w:p w:rsidR="00593977" w:rsidRDefault="00DB1389" w:rsidP="00DB1389">
            <w:r w:rsidRPr="00DB1389">
              <w:t>However, it is not necessary to know who is on a particular pathway as the students who are able, will be embarking on Pathway 1 activities in the next week or two, after which it will become clear who they are, for example by using Moodle activity reports.</w:t>
            </w:r>
          </w:p>
        </w:tc>
      </w:tr>
      <w:tr w:rsidR="00593977" w:rsidTr="00DB1389">
        <w:tc>
          <w:tcPr>
            <w:tcW w:w="2417" w:type="dxa"/>
          </w:tcPr>
          <w:p w:rsidR="00593977" w:rsidRDefault="00DB1389">
            <w:r w:rsidRPr="00DB1389">
              <w:t xml:space="preserve">If PW1 and PW 2 students learning starts to overlap there will be a problem on Moodle with due dates and cut-off dates in Moodle. This is a problem </w:t>
            </w:r>
            <w:r w:rsidRPr="00DB1389">
              <w:lastRenderedPageBreak/>
              <w:t>especially if students are not clearly identified as PW1 or PW2</w:t>
            </w:r>
          </w:p>
        </w:tc>
        <w:tc>
          <w:tcPr>
            <w:tcW w:w="5942" w:type="dxa"/>
          </w:tcPr>
          <w:p w:rsidR="00DB1389" w:rsidRPr="00DB1389" w:rsidRDefault="00DB1389" w:rsidP="00DB1389">
            <w:r w:rsidRPr="00DB1389">
              <w:lastRenderedPageBreak/>
              <w:t xml:space="preserve">At this stage it looks like Pathway 2 students (with no access) will only start after the Pathway 1’s </w:t>
            </w:r>
            <w:proofErr w:type="gramStart"/>
            <w:r w:rsidRPr="00DB1389">
              <w:t>have</w:t>
            </w:r>
            <w:proofErr w:type="gramEnd"/>
            <w:r w:rsidRPr="00DB1389">
              <w:t xml:space="preserve"> just about completed (just my opinion) – in particular the semester modules.</w:t>
            </w:r>
          </w:p>
          <w:p w:rsidR="00593977" w:rsidRDefault="00593977"/>
        </w:tc>
        <w:tc>
          <w:tcPr>
            <w:tcW w:w="5103" w:type="dxa"/>
          </w:tcPr>
          <w:p w:rsidR="00593977" w:rsidRDefault="00DB1389" w:rsidP="00DB1389">
            <w:r w:rsidRPr="00DB1389">
              <w:t>For practical purposes the current deadlines on Moodle will only be for Pathway 1 students. At a later stage another link for submission by Pathway 2 students could be added. I think it would be better not to have the Pathway 2 deadlines available at this stage.</w:t>
            </w:r>
          </w:p>
        </w:tc>
      </w:tr>
      <w:tr w:rsidR="00593977" w:rsidTr="00DB1389">
        <w:tc>
          <w:tcPr>
            <w:tcW w:w="2417" w:type="dxa"/>
          </w:tcPr>
          <w:p w:rsidR="00593977" w:rsidRDefault="00593977"/>
        </w:tc>
        <w:tc>
          <w:tcPr>
            <w:tcW w:w="5942" w:type="dxa"/>
          </w:tcPr>
          <w:p w:rsidR="00593977" w:rsidRDefault="00593977"/>
        </w:tc>
        <w:tc>
          <w:tcPr>
            <w:tcW w:w="5103" w:type="dxa"/>
          </w:tcPr>
          <w:p w:rsidR="00593977" w:rsidRDefault="00593977"/>
        </w:tc>
      </w:tr>
      <w:tr w:rsidR="00593977" w:rsidTr="00DB1389">
        <w:tc>
          <w:tcPr>
            <w:tcW w:w="2417" w:type="dxa"/>
          </w:tcPr>
          <w:p w:rsidR="00593977" w:rsidRDefault="000F4848">
            <w:r>
              <w:t xml:space="preserve">Can a student switch to </w:t>
            </w:r>
            <w:r w:rsidR="004459A8">
              <w:t>PW</w:t>
            </w:r>
            <w:r>
              <w:t xml:space="preserve"> 2?</w:t>
            </w:r>
          </w:p>
        </w:tc>
        <w:tc>
          <w:tcPr>
            <w:tcW w:w="5942" w:type="dxa"/>
          </w:tcPr>
          <w:p w:rsidR="00DB1389" w:rsidRDefault="000F4848" w:rsidP="00DB1389">
            <w:r>
              <w:t>Yes</w:t>
            </w:r>
            <w:r w:rsidR="00DB1389">
              <w:t xml:space="preserve">, </w:t>
            </w:r>
            <w:proofErr w:type="gramStart"/>
            <w:r w:rsidR="00DB1389">
              <w:t>It</w:t>
            </w:r>
            <w:proofErr w:type="gramEnd"/>
            <w:r w:rsidR="00DB1389">
              <w:t xml:space="preserve"> is assumed that the Pathway 1 and Pathway 2 students will complete the same number of assessments and that the assessments will be of the same standard. If a student starts off in Pathway 1, completes 2 of 4 assignments and then switches to Pathway 2, they will still have the marks for Assignment 1 and 2 captured. In Pathway 2 they then continue with Assignments 3 and 4.</w:t>
            </w:r>
          </w:p>
          <w:p w:rsidR="00593977" w:rsidRDefault="00DB1389" w:rsidP="00DB1389">
            <w:r>
              <w:t>Except if there is something in the way that the course is designed which prohibits the foregoing scenario, it should not be problematic if students move between Pathway 1 and Pathway 2</w:t>
            </w:r>
          </w:p>
        </w:tc>
        <w:tc>
          <w:tcPr>
            <w:tcW w:w="5103" w:type="dxa"/>
          </w:tcPr>
          <w:p w:rsidR="00593977" w:rsidRDefault="000F4848">
            <w:r>
              <w:t>Important to note that a student can</w:t>
            </w:r>
            <w:r w:rsidR="00DB1389">
              <w:t>no</w:t>
            </w:r>
            <w:r>
              <w:t xml:space="preserve">t </w:t>
            </w:r>
            <w:r w:rsidR="004459A8">
              <w:t>complete</w:t>
            </w:r>
            <w:r>
              <w:t xml:space="preserve"> and Fail </w:t>
            </w:r>
            <w:r w:rsidR="004459A8">
              <w:t>PW</w:t>
            </w:r>
            <w:r>
              <w:t>1 and then decide to sw</w:t>
            </w:r>
            <w:r w:rsidR="004459A8">
              <w:t>itc</w:t>
            </w:r>
            <w:r>
              <w:t xml:space="preserve">h to </w:t>
            </w:r>
            <w:r w:rsidR="004459A8">
              <w:t>PW</w:t>
            </w:r>
            <w:r>
              <w:t xml:space="preserve"> 2. The swit</w:t>
            </w:r>
            <w:r w:rsidR="004459A8">
              <w:t>c</w:t>
            </w:r>
            <w:r>
              <w:t xml:space="preserve">h must be done </w:t>
            </w:r>
            <w:r w:rsidR="00DB1389">
              <w:t>before final EMAs</w:t>
            </w:r>
            <w:r w:rsidR="004459A8">
              <w:t>.</w:t>
            </w:r>
          </w:p>
        </w:tc>
      </w:tr>
      <w:tr w:rsidR="00DB1389" w:rsidTr="00DB1389">
        <w:tc>
          <w:tcPr>
            <w:tcW w:w="2417" w:type="dxa"/>
          </w:tcPr>
          <w:p w:rsidR="00DB1389" w:rsidRDefault="00DB1389"/>
        </w:tc>
        <w:tc>
          <w:tcPr>
            <w:tcW w:w="5942" w:type="dxa"/>
          </w:tcPr>
          <w:p w:rsidR="00DB1389" w:rsidRDefault="00DB1389"/>
        </w:tc>
        <w:tc>
          <w:tcPr>
            <w:tcW w:w="5103" w:type="dxa"/>
          </w:tcPr>
          <w:p w:rsidR="00DB1389" w:rsidRDefault="00DB1389"/>
        </w:tc>
      </w:tr>
      <w:tr w:rsidR="00593977" w:rsidTr="00DB1389">
        <w:tc>
          <w:tcPr>
            <w:tcW w:w="2417" w:type="dxa"/>
          </w:tcPr>
          <w:p w:rsidR="00593977" w:rsidRDefault="00593977"/>
        </w:tc>
        <w:tc>
          <w:tcPr>
            <w:tcW w:w="5942" w:type="dxa"/>
          </w:tcPr>
          <w:p w:rsidR="00593977" w:rsidRDefault="00593977"/>
        </w:tc>
        <w:tc>
          <w:tcPr>
            <w:tcW w:w="5103" w:type="dxa"/>
          </w:tcPr>
          <w:p w:rsidR="00593977" w:rsidRDefault="00593977"/>
        </w:tc>
      </w:tr>
      <w:tr w:rsidR="00DB1389" w:rsidTr="00DB1389">
        <w:tc>
          <w:tcPr>
            <w:tcW w:w="2417" w:type="dxa"/>
          </w:tcPr>
          <w:p w:rsidR="00DB1389" w:rsidRDefault="00DB1389">
            <w:r>
              <w:rPr>
                <w:rFonts w:eastAsia="Times New Roman"/>
                <w:color w:val="000000"/>
                <w:sz w:val="24"/>
                <w:szCs w:val="24"/>
              </w:rPr>
              <w:t>When will we know if the APC requests have been approved?</w:t>
            </w:r>
          </w:p>
        </w:tc>
        <w:tc>
          <w:tcPr>
            <w:tcW w:w="5942" w:type="dxa"/>
          </w:tcPr>
          <w:p w:rsidR="00DB1389" w:rsidRDefault="00DB1389">
            <w:r w:rsidRPr="00DB1389">
              <w:t>Closer to end of April. The submission has been screened by the Academic Planning office with requested amendments made today, 22 April. Submission to APC is by 23 April. FMC approval still has to be done. Final approval scheduled for 28 April.</w:t>
            </w:r>
          </w:p>
        </w:tc>
        <w:tc>
          <w:tcPr>
            <w:tcW w:w="5103" w:type="dxa"/>
          </w:tcPr>
          <w:p w:rsidR="00DB1389" w:rsidRDefault="00DB1389"/>
        </w:tc>
      </w:tr>
      <w:tr w:rsidR="00DB1389" w:rsidTr="00DB1389">
        <w:tc>
          <w:tcPr>
            <w:tcW w:w="2417" w:type="dxa"/>
          </w:tcPr>
          <w:p w:rsidR="00DB1389" w:rsidRDefault="00DB1389"/>
        </w:tc>
        <w:tc>
          <w:tcPr>
            <w:tcW w:w="5942" w:type="dxa"/>
          </w:tcPr>
          <w:p w:rsidR="00DB1389" w:rsidRDefault="00DB1389"/>
        </w:tc>
        <w:tc>
          <w:tcPr>
            <w:tcW w:w="5103" w:type="dxa"/>
          </w:tcPr>
          <w:p w:rsidR="00DB1389" w:rsidRDefault="00DB1389"/>
        </w:tc>
      </w:tr>
      <w:tr w:rsidR="00DB1389" w:rsidTr="00DB1389">
        <w:tc>
          <w:tcPr>
            <w:tcW w:w="2417" w:type="dxa"/>
          </w:tcPr>
          <w:p w:rsidR="00DB1389" w:rsidRDefault="00DB1389" w:rsidP="00DB1389">
            <w:r>
              <w:t>Can we announce change to CAS now?</w:t>
            </w:r>
          </w:p>
        </w:tc>
        <w:tc>
          <w:tcPr>
            <w:tcW w:w="5942" w:type="dxa"/>
          </w:tcPr>
          <w:p w:rsidR="00DB1389" w:rsidRDefault="00DB1389" w:rsidP="00DB1389">
            <w:r>
              <w:t>Yes</w:t>
            </w:r>
          </w:p>
        </w:tc>
        <w:tc>
          <w:tcPr>
            <w:tcW w:w="5103" w:type="dxa"/>
          </w:tcPr>
          <w:p w:rsidR="00DB1389" w:rsidRDefault="00DB1389" w:rsidP="00DB1389">
            <w:r>
              <w:t>This is the university’s approach as an institution and safe to assume all requests will be granted</w:t>
            </w:r>
          </w:p>
        </w:tc>
      </w:tr>
      <w:tr w:rsidR="00DB1389" w:rsidTr="00DB1389">
        <w:tc>
          <w:tcPr>
            <w:tcW w:w="2417" w:type="dxa"/>
          </w:tcPr>
          <w:p w:rsidR="00DB1389" w:rsidRDefault="00DB1389" w:rsidP="00DB1389">
            <w:r>
              <w:t>Can we announce pass-on-link</w:t>
            </w:r>
          </w:p>
        </w:tc>
        <w:tc>
          <w:tcPr>
            <w:tcW w:w="5942" w:type="dxa"/>
          </w:tcPr>
          <w:p w:rsidR="00DB1389" w:rsidRDefault="00DB1389" w:rsidP="00DB1389">
            <w:r>
              <w:t>No</w:t>
            </w:r>
          </w:p>
        </w:tc>
        <w:tc>
          <w:tcPr>
            <w:tcW w:w="5103" w:type="dxa"/>
          </w:tcPr>
          <w:p w:rsidR="00DB1389" w:rsidRDefault="00DB1389" w:rsidP="00DB1389">
            <w:r>
              <w:t>L</w:t>
            </w:r>
            <w:r>
              <w:t>et us wait for formal approval</w:t>
            </w:r>
          </w:p>
        </w:tc>
      </w:tr>
      <w:tr w:rsidR="00DB1389" w:rsidTr="00DB1389">
        <w:tc>
          <w:tcPr>
            <w:tcW w:w="2417" w:type="dxa"/>
          </w:tcPr>
          <w:p w:rsidR="00DB1389" w:rsidRDefault="00DB1389" w:rsidP="00DB1389">
            <w:r>
              <w:t>Can we tell them about the performance indicators</w:t>
            </w:r>
          </w:p>
        </w:tc>
        <w:tc>
          <w:tcPr>
            <w:tcW w:w="5942" w:type="dxa"/>
          </w:tcPr>
          <w:p w:rsidR="00DB1389" w:rsidRDefault="00DB1389" w:rsidP="00DB1389">
            <w:r>
              <w:t xml:space="preserve">No, </w:t>
            </w:r>
            <w:r w:rsidRPr="00DB1389">
              <w:t>Pending re-consideration</w:t>
            </w:r>
          </w:p>
        </w:tc>
        <w:tc>
          <w:tcPr>
            <w:tcW w:w="5103" w:type="dxa"/>
          </w:tcPr>
          <w:p w:rsidR="00DB1389" w:rsidRDefault="00DB1389" w:rsidP="00DB1389">
            <w:r>
              <w:t>There are new discussions and considerations under way</w:t>
            </w:r>
          </w:p>
        </w:tc>
      </w:tr>
      <w:tr w:rsidR="00DB1389" w:rsidTr="00DB1389">
        <w:tc>
          <w:tcPr>
            <w:tcW w:w="2417" w:type="dxa"/>
          </w:tcPr>
          <w:p w:rsidR="00DB1389" w:rsidRDefault="00DB1389" w:rsidP="00DB1389"/>
        </w:tc>
        <w:tc>
          <w:tcPr>
            <w:tcW w:w="5942" w:type="dxa"/>
          </w:tcPr>
          <w:p w:rsidR="00DB1389" w:rsidRDefault="00DB1389" w:rsidP="00DB1389"/>
        </w:tc>
        <w:tc>
          <w:tcPr>
            <w:tcW w:w="5103" w:type="dxa"/>
          </w:tcPr>
          <w:p w:rsidR="00DB1389" w:rsidRDefault="00DB1389" w:rsidP="00DB1389"/>
        </w:tc>
      </w:tr>
      <w:tr w:rsidR="00DB1389" w:rsidTr="00DB1389">
        <w:tc>
          <w:tcPr>
            <w:tcW w:w="2417" w:type="dxa"/>
          </w:tcPr>
          <w:p w:rsidR="00DB1389" w:rsidRDefault="00DB1389" w:rsidP="00DB1389"/>
        </w:tc>
        <w:tc>
          <w:tcPr>
            <w:tcW w:w="5942" w:type="dxa"/>
          </w:tcPr>
          <w:p w:rsidR="00DB1389" w:rsidRDefault="00DB1389" w:rsidP="00DB1389"/>
        </w:tc>
        <w:tc>
          <w:tcPr>
            <w:tcW w:w="5103" w:type="dxa"/>
          </w:tcPr>
          <w:p w:rsidR="00DB1389" w:rsidRDefault="00DB1389" w:rsidP="00DB1389"/>
        </w:tc>
      </w:tr>
      <w:tr w:rsidR="00DB1389" w:rsidTr="00DB1389">
        <w:tc>
          <w:tcPr>
            <w:tcW w:w="13462" w:type="dxa"/>
            <w:gridSpan w:val="3"/>
          </w:tcPr>
          <w:p w:rsidR="00DB1389" w:rsidRPr="00DB1389" w:rsidRDefault="00DB1389" w:rsidP="00DB1389">
            <w:pPr>
              <w:rPr>
                <w:color w:val="FF0000"/>
              </w:rPr>
            </w:pPr>
            <w:r w:rsidRPr="007079E3">
              <w:rPr>
                <w:b/>
                <w:sz w:val="32"/>
                <w:szCs w:val="32"/>
              </w:rPr>
              <w:lastRenderedPageBreak/>
              <w:t>FAQs about data and technology</w:t>
            </w:r>
            <w:r>
              <w:rPr>
                <w:b/>
                <w:sz w:val="32"/>
                <w:szCs w:val="32"/>
              </w:rPr>
              <w:t xml:space="preserve"> </w:t>
            </w:r>
            <w:bookmarkStart w:id="0" w:name="_GoBack"/>
            <w:r w:rsidRPr="00A11947">
              <w:rPr>
                <w:color w:val="FF0000"/>
                <w:sz w:val="32"/>
                <w:szCs w:val="32"/>
              </w:rPr>
              <w:t xml:space="preserve">Kindly note that a brief with information is being compiled for staff and students </w:t>
            </w:r>
            <w:r w:rsidR="00A11947" w:rsidRPr="00A11947">
              <w:rPr>
                <w:color w:val="FF0000"/>
                <w:sz w:val="32"/>
                <w:szCs w:val="32"/>
              </w:rPr>
              <w:t>and will be published on the website</w:t>
            </w:r>
            <w:bookmarkEnd w:id="0"/>
          </w:p>
        </w:tc>
      </w:tr>
      <w:tr w:rsidR="00DB1389" w:rsidTr="00DB1389">
        <w:tc>
          <w:tcPr>
            <w:tcW w:w="2417" w:type="dxa"/>
          </w:tcPr>
          <w:p w:rsidR="00DB1389" w:rsidRPr="006672EC" w:rsidRDefault="00DB1389" w:rsidP="00DB1389">
            <w:pPr>
              <w:rPr>
                <w:b/>
              </w:rPr>
            </w:pPr>
            <w:r w:rsidRPr="006672EC">
              <w:rPr>
                <w:b/>
              </w:rPr>
              <w:t xml:space="preserve">Question </w:t>
            </w:r>
          </w:p>
        </w:tc>
        <w:tc>
          <w:tcPr>
            <w:tcW w:w="5942" w:type="dxa"/>
          </w:tcPr>
          <w:p w:rsidR="00DB1389" w:rsidRPr="006672EC" w:rsidRDefault="00DB1389" w:rsidP="00DB1389">
            <w:pPr>
              <w:rPr>
                <w:b/>
              </w:rPr>
            </w:pPr>
            <w:r w:rsidRPr="006672EC">
              <w:rPr>
                <w:b/>
              </w:rPr>
              <w:t>Answer</w:t>
            </w:r>
          </w:p>
        </w:tc>
        <w:tc>
          <w:tcPr>
            <w:tcW w:w="5103" w:type="dxa"/>
          </w:tcPr>
          <w:p w:rsidR="00DB1389" w:rsidRPr="006672EC" w:rsidRDefault="00DB1389" w:rsidP="00DB1389">
            <w:pPr>
              <w:rPr>
                <w:b/>
              </w:rPr>
            </w:pPr>
            <w:r w:rsidRPr="006672EC">
              <w:rPr>
                <w:b/>
              </w:rPr>
              <w:t>Other comments</w:t>
            </w:r>
          </w:p>
        </w:tc>
      </w:tr>
      <w:tr w:rsidR="00DB1389" w:rsidTr="00DB1389">
        <w:tc>
          <w:tcPr>
            <w:tcW w:w="2417" w:type="dxa"/>
          </w:tcPr>
          <w:p w:rsidR="00DB1389" w:rsidRDefault="00DB1389" w:rsidP="00DB1389">
            <w:r>
              <w:t>Which sites are Zero-rated</w:t>
            </w:r>
          </w:p>
        </w:tc>
        <w:tc>
          <w:tcPr>
            <w:tcW w:w="5942" w:type="dxa"/>
          </w:tcPr>
          <w:p w:rsidR="00DB1389" w:rsidRPr="00476838" w:rsidRDefault="00DB1389" w:rsidP="00DB1389">
            <w:pPr>
              <w:numPr>
                <w:ilvl w:val="0"/>
                <w:numId w:val="1"/>
              </w:numPr>
              <w:spacing w:before="100" w:beforeAutospacing="1" w:after="100" w:afterAutospacing="1"/>
              <w:rPr>
                <w:rFonts w:ascii="Segoe UI" w:eastAsia="Times New Roman" w:hAnsi="Segoe UI" w:cs="Segoe UI"/>
                <w:sz w:val="21"/>
                <w:szCs w:val="21"/>
              </w:rPr>
            </w:pPr>
            <w:hyperlink r:id="rId5" w:tooltip="https://learn.mandela.ac.za" w:history="1">
              <w:r w:rsidRPr="00476838">
                <w:rPr>
                  <w:rFonts w:ascii="Segoe UI" w:eastAsia="Times New Roman" w:hAnsi="Segoe UI" w:cs="Segoe UI"/>
                  <w:color w:val="6888C9"/>
                  <w:u w:val="single"/>
                </w:rPr>
                <w:t>https://learn.mandela.ac.za</w:t>
              </w:r>
            </w:hyperlink>
            <w:r w:rsidRPr="00476838">
              <w:rPr>
                <w:rFonts w:ascii="Segoe UI" w:eastAsia="Times New Roman" w:hAnsi="Segoe UI" w:cs="Segoe UI"/>
              </w:rPr>
              <w:t xml:space="preserve"> </w:t>
            </w:r>
          </w:p>
          <w:p w:rsidR="00DB1389" w:rsidRPr="00476838" w:rsidRDefault="00DB1389" w:rsidP="00DB1389">
            <w:pPr>
              <w:numPr>
                <w:ilvl w:val="0"/>
                <w:numId w:val="1"/>
              </w:numPr>
              <w:spacing w:before="100" w:beforeAutospacing="1" w:after="100" w:afterAutospacing="1"/>
              <w:rPr>
                <w:rFonts w:ascii="Segoe UI" w:eastAsia="Times New Roman" w:hAnsi="Segoe UI" w:cs="Segoe UI"/>
                <w:sz w:val="21"/>
                <w:szCs w:val="21"/>
              </w:rPr>
            </w:pPr>
            <w:hyperlink r:id="rId6" w:tooltip="https://incoko.mandela.ac.za" w:history="1">
              <w:r w:rsidRPr="00476838">
                <w:rPr>
                  <w:rFonts w:ascii="Segoe UI" w:eastAsia="Times New Roman" w:hAnsi="Segoe UI" w:cs="Segoe UI"/>
                  <w:color w:val="6888C9"/>
                  <w:u w:val="single"/>
                </w:rPr>
                <w:t>https://Incoko.mandela.ac.za</w:t>
              </w:r>
            </w:hyperlink>
            <w:r w:rsidRPr="00476838">
              <w:rPr>
                <w:rFonts w:ascii="Segoe UI" w:eastAsia="Times New Roman" w:hAnsi="Segoe UI" w:cs="Segoe UI"/>
              </w:rPr>
              <w:t xml:space="preserve"> </w:t>
            </w:r>
          </w:p>
          <w:p w:rsidR="00DB1389" w:rsidRPr="00476838" w:rsidRDefault="00DB1389" w:rsidP="00DB1389">
            <w:pPr>
              <w:numPr>
                <w:ilvl w:val="0"/>
                <w:numId w:val="1"/>
              </w:numPr>
              <w:spacing w:before="100" w:beforeAutospacing="1" w:after="100" w:afterAutospacing="1"/>
              <w:rPr>
                <w:rFonts w:ascii="Segoe UI" w:eastAsia="Times New Roman" w:hAnsi="Segoe UI" w:cs="Segoe UI"/>
                <w:sz w:val="21"/>
                <w:szCs w:val="21"/>
              </w:rPr>
            </w:pPr>
            <w:hyperlink r:id="rId7" w:tooltip="http://unitube.mandela.ac.za/" w:history="1">
              <w:r w:rsidRPr="00476838">
                <w:rPr>
                  <w:rFonts w:ascii="Segoe UI" w:eastAsia="Times New Roman" w:hAnsi="Segoe UI" w:cs="Segoe UI"/>
                  <w:color w:val="6888C9"/>
                  <w:u w:val="single"/>
                </w:rPr>
                <w:t>http://unitube.mandela.ac.za/</w:t>
              </w:r>
            </w:hyperlink>
            <w:r w:rsidRPr="00476838">
              <w:rPr>
                <w:rFonts w:ascii="Segoe UI" w:eastAsia="Times New Roman" w:hAnsi="Segoe UI" w:cs="Segoe UI"/>
              </w:rPr>
              <w:t xml:space="preserve"> </w:t>
            </w:r>
          </w:p>
          <w:p w:rsidR="00DB1389" w:rsidRPr="00476838" w:rsidRDefault="00DB1389" w:rsidP="00DB1389">
            <w:pPr>
              <w:numPr>
                <w:ilvl w:val="0"/>
                <w:numId w:val="1"/>
              </w:numPr>
              <w:spacing w:before="100" w:beforeAutospacing="1" w:after="100" w:afterAutospacing="1"/>
              <w:rPr>
                <w:rFonts w:ascii="Segoe UI" w:eastAsia="Times New Roman" w:hAnsi="Segoe UI" w:cs="Segoe UI"/>
                <w:sz w:val="21"/>
                <w:szCs w:val="21"/>
              </w:rPr>
            </w:pPr>
            <w:hyperlink r:id="rId8" w:tooltip="https://wowza.l.nmmu.ac.za" w:history="1">
              <w:r w:rsidRPr="00476838">
                <w:rPr>
                  <w:rFonts w:ascii="Segoe UI" w:eastAsia="Times New Roman" w:hAnsi="Segoe UI" w:cs="Segoe UI"/>
                  <w:color w:val="6888C9"/>
                  <w:u w:val="single"/>
                </w:rPr>
                <w:t>https://wowza.l.nmmu.ac.za</w:t>
              </w:r>
            </w:hyperlink>
            <w:r w:rsidRPr="00476838">
              <w:rPr>
                <w:rFonts w:ascii="Segoe UI" w:eastAsia="Times New Roman" w:hAnsi="Segoe UI" w:cs="Segoe UI"/>
              </w:rPr>
              <w:t xml:space="preserve"> </w:t>
            </w:r>
          </w:p>
          <w:p w:rsidR="00DB1389" w:rsidRPr="00476838" w:rsidRDefault="00DB1389" w:rsidP="00DB1389">
            <w:pPr>
              <w:numPr>
                <w:ilvl w:val="0"/>
                <w:numId w:val="1"/>
              </w:numPr>
              <w:spacing w:before="100" w:beforeAutospacing="1" w:after="100" w:afterAutospacing="1"/>
              <w:rPr>
                <w:rFonts w:ascii="Segoe UI" w:eastAsia="Times New Roman" w:hAnsi="Segoe UI" w:cs="Segoe UI"/>
                <w:sz w:val="21"/>
                <w:szCs w:val="21"/>
              </w:rPr>
            </w:pPr>
            <w:hyperlink r:id="rId9" w:tooltip="https://www.mandela.ac.za" w:history="1">
              <w:r w:rsidRPr="00476838">
                <w:rPr>
                  <w:rFonts w:ascii="Segoe UI" w:eastAsia="Times New Roman" w:hAnsi="Segoe UI" w:cs="Segoe UI"/>
                  <w:color w:val="6888C9"/>
                  <w:u w:val="single"/>
                </w:rPr>
                <w:t>https://www.mandela.ac.za</w:t>
              </w:r>
            </w:hyperlink>
            <w:r w:rsidRPr="00476838">
              <w:rPr>
                <w:rFonts w:ascii="Segoe UI" w:eastAsia="Times New Roman" w:hAnsi="Segoe UI" w:cs="Segoe UI"/>
              </w:rPr>
              <w:t xml:space="preserve"> </w:t>
            </w:r>
          </w:p>
          <w:p w:rsidR="00DB1389" w:rsidRPr="00476838" w:rsidRDefault="00DB1389" w:rsidP="00DB1389">
            <w:pPr>
              <w:numPr>
                <w:ilvl w:val="0"/>
                <w:numId w:val="1"/>
              </w:numPr>
              <w:spacing w:before="100" w:beforeAutospacing="1" w:after="100" w:afterAutospacing="1"/>
              <w:rPr>
                <w:rFonts w:ascii="Segoe UI" w:eastAsia="Times New Roman" w:hAnsi="Segoe UI" w:cs="Segoe UI"/>
                <w:sz w:val="21"/>
                <w:szCs w:val="21"/>
              </w:rPr>
            </w:pPr>
            <w:hyperlink r:id="rId10" w:tooltip="https://assessment.mandela.ac.za" w:history="1">
              <w:r w:rsidRPr="00476838">
                <w:rPr>
                  <w:rFonts w:ascii="Segoe UI" w:eastAsia="Times New Roman" w:hAnsi="Segoe UI" w:cs="Segoe UI"/>
                  <w:color w:val="6888C9"/>
                  <w:u w:val="single"/>
                </w:rPr>
                <w:t>https://assessment.mandela.ac.za</w:t>
              </w:r>
            </w:hyperlink>
            <w:r w:rsidRPr="00476838">
              <w:rPr>
                <w:rFonts w:ascii="Segoe UI" w:eastAsia="Times New Roman" w:hAnsi="Segoe UI" w:cs="Segoe UI"/>
              </w:rPr>
              <w:t xml:space="preserve"> </w:t>
            </w:r>
          </w:p>
          <w:p w:rsidR="00DB1389" w:rsidRPr="00476838" w:rsidRDefault="00DB1389" w:rsidP="00DB1389">
            <w:pPr>
              <w:numPr>
                <w:ilvl w:val="0"/>
                <w:numId w:val="1"/>
              </w:numPr>
              <w:spacing w:before="100" w:beforeAutospacing="1" w:after="100" w:afterAutospacing="1"/>
              <w:rPr>
                <w:rFonts w:ascii="Segoe UI" w:eastAsia="Times New Roman" w:hAnsi="Segoe UI" w:cs="Segoe UI"/>
                <w:sz w:val="21"/>
                <w:szCs w:val="21"/>
              </w:rPr>
            </w:pPr>
            <w:hyperlink r:id="rId11" w:tooltip="https://students.mandela.ac.za" w:history="1">
              <w:r w:rsidRPr="00476838">
                <w:rPr>
                  <w:rFonts w:ascii="Segoe UI" w:eastAsia="Times New Roman" w:hAnsi="Segoe UI" w:cs="Segoe UI"/>
                  <w:color w:val="6888C9"/>
                  <w:u w:val="single"/>
                </w:rPr>
                <w:t>https://students.mandela.ac.za</w:t>
              </w:r>
            </w:hyperlink>
            <w:r w:rsidRPr="00476838">
              <w:rPr>
                <w:rFonts w:ascii="Segoe UI" w:eastAsia="Times New Roman" w:hAnsi="Segoe UI" w:cs="Segoe UI"/>
              </w:rPr>
              <w:t xml:space="preserve"> </w:t>
            </w:r>
          </w:p>
          <w:p w:rsidR="00DB1389" w:rsidRPr="00476838" w:rsidRDefault="00DB1389" w:rsidP="00DB1389">
            <w:pPr>
              <w:numPr>
                <w:ilvl w:val="0"/>
                <w:numId w:val="1"/>
              </w:numPr>
              <w:spacing w:before="100" w:beforeAutospacing="1" w:after="100" w:afterAutospacing="1"/>
              <w:rPr>
                <w:rFonts w:ascii="Segoe UI" w:eastAsia="Times New Roman" w:hAnsi="Segoe UI" w:cs="Segoe UI"/>
                <w:sz w:val="21"/>
                <w:szCs w:val="21"/>
              </w:rPr>
            </w:pPr>
            <w:hyperlink r:id="rId12" w:tooltip="https://webservices.nmmu.ac.za" w:history="1">
              <w:r w:rsidRPr="00476838">
                <w:rPr>
                  <w:rFonts w:ascii="Segoe UI" w:eastAsia="Times New Roman" w:hAnsi="Segoe UI" w:cs="Segoe UI"/>
                  <w:color w:val="6888C9"/>
                  <w:u w:val="single"/>
                </w:rPr>
                <w:t>https://webservices.nmmu.ac.za</w:t>
              </w:r>
            </w:hyperlink>
            <w:r w:rsidRPr="00476838">
              <w:rPr>
                <w:rFonts w:ascii="Segoe UI" w:eastAsia="Times New Roman" w:hAnsi="Segoe UI" w:cs="Segoe UI"/>
              </w:rPr>
              <w:t xml:space="preserve"> </w:t>
            </w:r>
          </w:p>
          <w:p w:rsidR="00DB1389" w:rsidRPr="00476838" w:rsidRDefault="00DB1389" w:rsidP="00DB1389">
            <w:pPr>
              <w:numPr>
                <w:ilvl w:val="0"/>
                <w:numId w:val="1"/>
              </w:numPr>
              <w:spacing w:before="100" w:beforeAutospacing="1" w:after="100" w:afterAutospacing="1"/>
              <w:rPr>
                <w:rFonts w:ascii="Segoe UI" w:eastAsia="Times New Roman" w:hAnsi="Segoe UI" w:cs="Segoe UI"/>
                <w:sz w:val="21"/>
                <w:szCs w:val="21"/>
              </w:rPr>
            </w:pPr>
            <w:hyperlink r:id="rId13" w:tooltip="https://itsweb.mandela.ac.za" w:history="1">
              <w:r w:rsidRPr="00476838">
                <w:rPr>
                  <w:rFonts w:ascii="Segoe UI" w:eastAsia="Times New Roman" w:hAnsi="Segoe UI" w:cs="Segoe UI"/>
                  <w:color w:val="6888C9"/>
                  <w:u w:val="single"/>
                </w:rPr>
                <w:t>https://itsweb.mandela.ac.za</w:t>
              </w:r>
            </w:hyperlink>
            <w:r w:rsidRPr="00476838">
              <w:rPr>
                <w:rFonts w:ascii="Segoe UI" w:eastAsia="Times New Roman" w:hAnsi="Segoe UI" w:cs="Segoe UI"/>
              </w:rPr>
              <w:t xml:space="preserve"> </w:t>
            </w:r>
          </w:p>
          <w:p w:rsidR="00DB1389" w:rsidRPr="00476838" w:rsidRDefault="00DB1389" w:rsidP="00DB1389">
            <w:pPr>
              <w:numPr>
                <w:ilvl w:val="0"/>
                <w:numId w:val="1"/>
              </w:numPr>
              <w:spacing w:before="100" w:beforeAutospacing="1" w:after="100" w:afterAutospacing="1"/>
              <w:rPr>
                <w:rFonts w:ascii="Segoe UI" w:eastAsia="Times New Roman" w:hAnsi="Segoe UI" w:cs="Segoe UI"/>
                <w:sz w:val="21"/>
                <w:szCs w:val="21"/>
              </w:rPr>
            </w:pPr>
            <w:hyperlink r:id="rId14" w:tooltip="https://webapps.nmmu.ac.za" w:history="1">
              <w:r w:rsidRPr="00476838">
                <w:rPr>
                  <w:rFonts w:ascii="Segoe UI" w:eastAsia="Times New Roman" w:hAnsi="Segoe UI" w:cs="Segoe UI"/>
                  <w:color w:val="6888C9"/>
                  <w:u w:val="single"/>
                </w:rPr>
                <w:t>https://webapps.nmmu.ac.za</w:t>
              </w:r>
            </w:hyperlink>
            <w:r w:rsidRPr="00476838">
              <w:rPr>
                <w:rFonts w:ascii="Segoe UI" w:eastAsia="Times New Roman" w:hAnsi="Segoe UI" w:cs="Segoe UI"/>
              </w:rPr>
              <w:t xml:space="preserve"> </w:t>
            </w:r>
          </w:p>
          <w:p w:rsidR="00DB1389" w:rsidRPr="00476838" w:rsidRDefault="00DB1389" w:rsidP="00DB1389">
            <w:pPr>
              <w:numPr>
                <w:ilvl w:val="0"/>
                <w:numId w:val="1"/>
              </w:numPr>
              <w:spacing w:before="100" w:beforeAutospacing="1" w:after="100" w:afterAutospacing="1"/>
              <w:rPr>
                <w:rFonts w:ascii="Segoe UI" w:eastAsia="Times New Roman" w:hAnsi="Segoe UI" w:cs="Segoe UI"/>
                <w:sz w:val="21"/>
                <w:szCs w:val="21"/>
              </w:rPr>
            </w:pPr>
            <w:hyperlink r:id="rId15" w:tooltip="https://applyonline.mandela.ac.za" w:history="1">
              <w:r w:rsidRPr="00476838">
                <w:rPr>
                  <w:rFonts w:ascii="Segoe UI" w:eastAsia="Times New Roman" w:hAnsi="Segoe UI" w:cs="Segoe UI"/>
                  <w:color w:val="6888C9"/>
                  <w:u w:val="single"/>
                </w:rPr>
                <w:t>https://applyonline.mandela.ac.za</w:t>
              </w:r>
            </w:hyperlink>
            <w:r w:rsidRPr="00476838">
              <w:rPr>
                <w:rFonts w:ascii="Segoe UI" w:eastAsia="Times New Roman" w:hAnsi="Segoe UI" w:cs="Segoe UI"/>
                <w:sz w:val="21"/>
                <w:szCs w:val="21"/>
              </w:rPr>
              <w:t xml:space="preserve"> </w:t>
            </w:r>
          </w:p>
          <w:p w:rsidR="00DB1389" w:rsidRDefault="00DB1389" w:rsidP="00DB1389"/>
        </w:tc>
        <w:tc>
          <w:tcPr>
            <w:tcW w:w="5103" w:type="dxa"/>
          </w:tcPr>
          <w:p w:rsidR="00DB1389" w:rsidRDefault="00DB1389" w:rsidP="00DB1389">
            <w:r>
              <w:t>Note that data is required to log in and there after it does not use data</w:t>
            </w:r>
          </w:p>
          <w:p w:rsidR="00DB1389" w:rsidRDefault="00DB1389" w:rsidP="00DB1389"/>
          <w:p w:rsidR="00DB1389" w:rsidRDefault="00DB1389" w:rsidP="00DB1389"/>
          <w:p w:rsidR="00DB1389" w:rsidRDefault="00DB1389" w:rsidP="00DB1389"/>
          <w:p w:rsidR="00DB1389" w:rsidRDefault="00DB1389" w:rsidP="00DB1389"/>
        </w:tc>
      </w:tr>
      <w:tr w:rsidR="00DB1389" w:rsidTr="00DB1389">
        <w:tc>
          <w:tcPr>
            <w:tcW w:w="2417" w:type="dxa"/>
          </w:tcPr>
          <w:p w:rsidR="00DB1389" w:rsidRPr="00476838" w:rsidRDefault="00DB1389" w:rsidP="00DB1389">
            <w:pPr>
              <w:rPr>
                <w:rFonts w:ascii="Segoe UI" w:eastAsia="Times New Roman" w:hAnsi="Segoe UI" w:cs="Segoe UI"/>
                <w:sz w:val="21"/>
                <w:szCs w:val="21"/>
              </w:rPr>
            </w:pPr>
            <w:r>
              <w:rPr>
                <w:rFonts w:ascii="Segoe UI" w:eastAsia="Times New Roman" w:hAnsi="Segoe UI" w:cs="Segoe UI"/>
                <w:sz w:val="21"/>
                <w:szCs w:val="21"/>
              </w:rPr>
              <w:t>I</w:t>
            </w:r>
            <w:r w:rsidRPr="00476838">
              <w:rPr>
                <w:rFonts w:ascii="Segoe UI" w:eastAsia="Times New Roman" w:hAnsi="Segoe UI" w:cs="Segoe UI"/>
                <w:sz w:val="21"/>
                <w:szCs w:val="21"/>
              </w:rPr>
              <w:t>s any *.mandela.ac.za zero rated?</w:t>
            </w:r>
          </w:p>
          <w:p w:rsidR="00DB1389" w:rsidRDefault="00DB1389" w:rsidP="00DB1389"/>
        </w:tc>
        <w:tc>
          <w:tcPr>
            <w:tcW w:w="5942" w:type="dxa"/>
          </w:tcPr>
          <w:p w:rsidR="00DB1389" w:rsidRDefault="00DB1389" w:rsidP="00DB1389">
            <w:r>
              <w:t>No</w:t>
            </w:r>
          </w:p>
        </w:tc>
        <w:tc>
          <w:tcPr>
            <w:tcW w:w="5103" w:type="dxa"/>
          </w:tcPr>
          <w:p w:rsidR="00DB1389" w:rsidRDefault="00DB1389" w:rsidP="00DB1389">
            <w:r>
              <w:t xml:space="preserve">Must apply for zero rating. Example Waiting for the </w:t>
            </w:r>
            <w:proofErr w:type="spellStart"/>
            <w:r>
              <w:t>Getdigiready</w:t>
            </w:r>
            <w:proofErr w:type="spellEnd"/>
            <w:r>
              <w:t xml:space="preserve"> site to be approved as zero rated</w:t>
            </w:r>
          </w:p>
          <w:p w:rsidR="00DB1389" w:rsidRDefault="00DB1389" w:rsidP="00DB1389"/>
        </w:tc>
      </w:tr>
      <w:tr w:rsidR="00DB1389" w:rsidTr="00DB1389">
        <w:tc>
          <w:tcPr>
            <w:tcW w:w="2417" w:type="dxa"/>
          </w:tcPr>
          <w:p w:rsidR="00DB1389" w:rsidRDefault="00DB1389" w:rsidP="00DB1389">
            <w:pPr>
              <w:rPr>
                <w:rFonts w:ascii="Segoe UI" w:eastAsia="Times New Roman" w:hAnsi="Segoe UI" w:cs="Segoe UI"/>
                <w:sz w:val="21"/>
                <w:szCs w:val="21"/>
              </w:rPr>
            </w:pPr>
            <w:r>
              <w:rPr>
                <w:rFonts w:ascii="Segoe UI" w:eastAsia="Times New Roman" w:hAnsi="Segoe UI" w:cs="Segoe UI"/>
                <w:sz w:val="21"/>
                <w:szCs w:val="21"/>
              </w:rPr>
              <w:t>Is the SharePoint zero rated?</w:t>
            </w:r>
          </w:p>
        </w:tc>
        <w:tc>
          <w:tcPr>
            <w:tcW w:w="5942" w:type="dxa"/>
          </w:tcPr>
          <w:p w:rsidR="00DB1389" w:rsidRDefault="00DB1389" w:rsidP="00DB1389">
            <w:r w:rsidRPr="007079E3">
              <w:rPr>
                <w:rFonts w:ascii="Segoe UI" w:eastAsia="Times New Roman" w:hAnsi="Segoe UI" w:cs="Segoe UI"/>
                <w:sz w:val="21"/>
                <w:szCs w:val="21"/>
              </w:rPr>
              <w:t>On-premises SharePoint, i.e. dept.mandela.ac.za is zero rated, the cloud SharePoint where the student modules are located is not as the zero-rating applies to all customers of the mobile network and SharePoint, Teams etc are on the Microsoft cloud along with so many other third-party sites that the mobile networks are not willing to give up that income.</w:t>
            </w:r>
          </w:p>
        </w:tc>
        <w:tc>
          <w:tcPr>
            <w:tcW w:w="5103" w:type="dxa"/>
          </w:tcPr>
          <w:p w:rsidR="00DB1389" w:rsidRDefault="00DB1389" w:rsidP="00DB1389"/>
        </w:tc>
      </w:tr>
      <w:tr w:rsidR="00DB1389" w:rsidTr="00DB1389">
        <w:tc>
          <w:tcPr>
            <w:tcW w:w="2417" w:type="dxa"/>
          </w:tcPr>
          <w:p w:rsidR="00DB1389" w:rsidRDefault="00DB1389" w:rsidP="00DB1389">
            <w:pPr>
              <w:rPr>
                <w:rFonts w:ascii="Segoe UI" w:eastAsia="Times New Roman" w:hAnsi="Segoe UI" w:cs="Segoe UI"/>
                <w:sz w:val="21"/>
                <w:szCs w:val="21"/>
              </w:rPr>
            </w:pPr>
          </w:p>
        </w:tc>
        <w:tc>
          <w:tcPr>
            <w:tcW w:w="5942" w:type="dxa"/>
          </w:tcPr>
          <w:p w:rsidR="00DB1389" w:rsidRDefault="00DB1389" w:rsidP="00DB1389"/>
        </w:tc>
        <w:tc>
          <w:tcPr>
            <w:tcW w:w="5103" w:type="dxa"/>
          </w:tcPr>
          <w:p w:rsidR="00DB1389" w:rsidRDefault="00DB1389" w:rsidP="00DB1389"/>
        </w:tc>
      </w:tr>
      <w:tr w:rsidR="00DB1389" w:rsidTr="00DB1389">
        <w:tc>
          <w:tcPr>
            <w:tcW w:w="2417" w:type="dxa"/>
          </w:tcPr>
          <w:p w:rsidR="00DB1389" w:rsidRDefault="00DB1389" w:rsidP="00DB1389">
            <w:pPr>
              <w:rPr>
                <w:rFonts w:ascii="Segoe UI" w:eastAsia="Times New Roman" w:hAnsi="Segoe UI" w:cs="Segoe UI"/>
                <w:sz w:val="21"/>
                <w:szCs w:val="21"/>
              </w:rPr>
            </w:pPr>
            <w:r>
              <w:rPr>
                <w:rFonts w:ascii="Segoe UI" w:eastAsia="Times New Roman" w:hAnsi="Segoe UI" w:cs="Segoe UI"/>
                <w:sz w:val="21"/>
                <w:szCs w:val="21"/>
              </w:rPr>
              <w:t>W</w:t>
            </w:r>
            <w:r w:rsidRPr="007079E3">
              <w:rPr>
                <w:rFonts w:ascii="Segoe UI" w:eastAsia="Times New Roman" w:hAnsi="Segoe UI" w:cs="Segoe UI"/>
                <w:sz w:val="21"/>
                <w:szCs w:val="21"/>
              </w:rPr>
              <w:t xml:space="preserve">ith regards to our servers being open </w:t>
            </w:r>
            <w:r w:rsidRPr="007079E3">
              <w:rPr>
                <w:rFonts w:ascii="Segoe UI" w:eastAsia="Times New Roman" w:hAnsi="Segoe UI" w:cs="Segoe UI"/>
                <w:sz w:val="21"/>
                <w:szCs w:val="21"/>
              </w:rPr>
              <w:lastRenderedPageBreak/>
              <w:t xml:space="preserve">from outside.  </w:t>
            </w:r>
            <w:proofErr w:type="spellStart"/>
            <w:r w:rsidRPr="007079E3">
              <w:rPr>
                <w:rFonts w:ascii="Segoe UI" w:eastAsia="Times New Roman" w:hAnsi="Segoe UI" w:cs="Segoe UI"/>
                <w:sz w:val="21"/>
                <w:szCs w:val="21"/>
              </w:rPr>
              <w:t>ie</w:t>
            </w:r>
            <w:proofErr w:type="spellEnd"/>
            <w:r w:rsidRPr="007079E3">
              <w:rPr>
                <w:rFonts w:ascii="Segoe UI" w:eastAsia="Times New Roman" w:hAnsi="Segoe UI" w:cs="Segoe UI"/>
                <w:sz w:val="21"/>
                <w:szCs w:val="21"/>
              </w:rPr>
              <w:t xml:space="preserve"> no </w:t>
            </w:r>
            <w:r>
              <w:rPr>
                <w:rFonts w:ascii="Segoe UI" w:eastAsia="Times New Roman" w:hAnsi="Segoe UI" w:cs="Segoe UI"/>
                <w:sz w:val="21"/>
                <w:szCs w:val="21"/>
              </w:rPr>
              <w:t>VPN</w:t>
            </w:r>
            <w:r w:rsidRPr="007079E3">
              <w:rPr>
                <w:rFonts w:ascii="Segoe UI" w:eastAsia="Times New Roman" w:hAnsi="Segoe UI" w:cs="Segoe UI"/>
                <w:sz w:val="21"/>
                <w:szCs w:val="21"/>
              </w:rPr>
              <w:t xml:space="preserve"> required”</w:t>
            </w:r>
          </w:p>
        </w:tc>
        <w:tc>
          <w:tcPr>
            <w:tcW w:w="5942" w:type="dxa"/>
          </w:tcPr>
          <w:p w:rsidR="00DB1389" w:rsidRDefault="00DB1389" w:rsidP="00DB1389">
            <w:r w:rsidRPr="007079E3">
              <w:rPr>
                <w:rFonts w:ascii="Segoe UI" w:eastAsia="Times New Roman" w:hAnsi="Segoe UI" w:cs="Segoe UI"/>
                <w:sz w:val="21"/>
                <w:szCs w:val="21"/>
              </w:rPr>
              <w:lastRenderedPageBreak/>
              <w:t xml:space="preserve">Not all of our servers are accessible from outside for security purposes. For example, the ITS back-office sites are not </w:t>
            </w:r>
            <w:r w:rsidRPr="007079E3">
              <w:rPr>
                <w:rFonts w:ascii="Segoe UI" w:eastAsia="Times New Roman" w:hAnsi="Segoe UI" w:cs="Segoe UI"/>
                <w:sz w:val="21"/>
                <w:szCs w:val="21"/>
              </w:rPr>
              <w:lastRenderedPageBreak/>
              <w:t xml:space="preserve">accessible, but the ITS Web </w:t>
            </w:r>
            <w:proofErr w:type="spellStart"/>
            <w:r w:rsidRPr="007079E3">
              <w:rPr>
                <w:rFonts w:ascii="Segoe UI" w:eastAsia="Times New Roman" w:hAnsi="Segoe UI" w:cs="Segoe UI"/>
                <w:sz w:val="21"/>
                <w:szCs w:val="21"/>
              </w:rPr>
              <w:t>iEnabler</w:t>
            </w:r>
            <w:proofErr w:type="spellEnd"/>
            <w:r w:rsidRPr="007079E3">
              <w:rPr>
                <w:rFonts w:ascii="Segoe UI" w:eastAsia="Times New Roman" w:hAnsi="Segoe UI" w:cs="Segoe UI"/>
                <w:sz w:val="21"/>
                <w:szCs w:val="21"/>
              </w:rPr>
              <w:t xml:space="preserve"> is. There are very few of those, but they do exist. </w:t>
            </w:r>
          </w:p>
        </w:tc>
        <w:tc>
          <w:tcPr>
            <w:tcW w:w="5103" w:type="dxa"/>
          </w:tcPr>
          <w:p w:rsidR="00DB1389" w:rsidRDefault="00DB1389" w:rsidP="00DB1389">
            <w:r w:rsidRPr="007079E3">
              <w:rPr>
                <w:rFonts w:ascii="Segoe UI" w:eastAsia="Times New Roman" w:hAnsi="Segoe UI" w:cs="Segoe UI"/>
                <w:sz w:val="21"/>
                <w:szCs w:val="21"/>
              </w:rPr>
              <w:lastRenderedPageBreak/>
              <w:t xml:space="preserve">If the staff members have queries about a specific server, please let us </w:t>
            </w:r>
            <w:r>
              <w:rPr>
                <w:rFonts w:ascii="Segoe UI" w:eastAsia="Times New Roman" w:hAnsi="Segoe UI" w:cs="Segoe UI"/>
                <w:sz w:val="21"/>
                <w:szCs w:val="21"/>
              </w:rPr>
              <w:t xml:space="preserve">(ICT Services) </w:t>
            </w:r>
            <w:r w:rsidRPr="007079E3">
              <w:rPr>
                <w:rFonts w:ascii="Segoe UI" w:eastAsia="Times New Roman" w:hAnsi="Segoe UI" w:cs="Segoe UI"/>
                <w:sz w:val="21"/>
                <w:szCs w:val="21"/>
              </w:rPr>
              <w:t>know which one so we can comment more completely.</w:t>
            </w:r>
          </w:p>
        </w:tc>
      </w:tr>
      <w:tr w:rsidR="00DB1389" w:rsidTr="00DB1389">
        <w:tc>
          <w:tcPr>
            <w:tcW w:w="2417" w:type="dxa"/>
          </w:tcPr>
          <w:p w:rsidR="00DB1389" w:rsidRDefault="00DB1389" w:rsidP="00DB1389">
            <w:pPr>
              <w:rPr>
                <w:rFonts w:ascii="Segoe UI" w:eastAsia="Times New Roman" w:hAnsi="Segoe UI" w:cs="Segoe UI"/>
                <w:sz w:val="21"/>
                <w:szCs w:val="21"/>
              </w:rPr>
            </w:pPr>
            <w:r w:rsidRPr="007079E3">
              <w:rPr>
                <w:rFonts w:ascii="Segoe UI" w:eastAsia="Times New Roman" w:hAnsi="Segoe UI" w:cs="Segoe UI"/>
                <w:sz w:val="21"/>
                <w:szCs w:val="21"/>
              </w:rPr>
              <w:t>Do you use more data when you VPN?</w:t>
            </w:r>
          </w:p>
        </w:tc>
        <w:tc>
          <w:tcPr>
            <w:tcW w:w="5942" w:type="dxa"/>
          </w:tcPr>
          <w:p w:rsidR="00DB1389" w:rsidRDefault="00DB1389" w:rsidP="00DB1389">
            <w:r w:rsidRPr="007079E3">
              <w:rPr>
                <w:rFonts w:ascii="Segoe UI" w:eastAsia="Times New Roman" w:hAnsi="Segoe UI" w:cs="Segoe UI"/>
                <w:sz w:val="21"/>
                <w:szCs w:val="21"/>
              </w:rPr>
              <w:t>It can be the case, there is a small overhead when packing your usual traffic inside the VPN packets</w:t>
            </w:r>
            <w:r>
              <w:rPr>
                <w:rFonts w:ascii="Segoe UI" w:eastAsia="Times New Roman" w:hAnsi="Segoe UI" w:cs="Segoe UI"/>
                <w:sz w:val="21"/>
                <w:szCs w:val="21"/>
              </w:rPr>
              <w:t>.</w:t>
            </w:r>
          </w:p>
        </w:tc>
        <w:tc>
          <w:tcPr>
            <w:tcW w:w="5103" w:type="dxa"/>
          </w:tcPr>
          <w:p w:rsidR="00DB1389" w:rsidRDefault="00DB1389" w:rsidP="00DB1389">
            <w:r>
              <w:rPr>
                <w:rFonts w:ascii="Segoe UI" w:eastAsia="Times New Roman" w:hAnsi="Segoe UI" w:cs="Segoe UI"/>
                <w:sz w:val="21"/>
                <w:szCs w:val="21"/>
              </w:rPr>
              <w:t>NOTE:</w:t>
            </w:r>
            <w:r w:rsidRPr="007079E3">
              <w:rPr>
                <w:rFonts w:ascii="Segoe UI" w:eastAsia="Times New Roman" w:hAnsi="Segoe UI" w:cs="Segoe UI"/>
                <w:sz w:val="21"/>
                <w:szCs w:val="21"/>
              </w:rPr>
              <w:t xml:space="preserve"> once your VPN is connected, Windows Update may start downloading updates from the University update servers.</w:t>
            </w:r>
          </w:p>
        </w:tc>
      </w:tr>
      <w:tr w:rsidR="00DB1389" w:rsidTr="00DB1389">
        <w:tc>
          <w:tcPr>
            <w:tcW w:w="2417" w:type="dxa"/>
          </w:tcPr>
          <w:p w:rsidR="00DB1389" w:rsidRDefault="00DB1389" w:rsidP="00DB1389">
            <w:pPr>
              <w:rPr>
                <w:rFonts w:ascii="Segoe UI" w:eastAsia="Times New Roman" w:hAnsi="Segoe UI" w:cs="Segoe UI"/>
                <w:sz w:val="21"/>
                <w:szCs w:val="21"/>
              </w:rPr>
            </w:pPr>
            <w:r w:rsidRPr="007079E3">
              <w:rPr>
                <w:rFonts w:ascii="Segoe UI" w:eastAsia="Times New Roman" w:hAnsi="Segoe UI" w:cs="Segoe UI"/>
                <w:sz w:val="21"/>
                <w:szCs w:val="21"/>
              </w:rPr>
              <w:t xml:space="preserve">Will zero rated sites include those that you must access through VPN </w:t>
            </w:r>
            <w:proofErr w:type="spellStart"/>
            <w:r w:rsidRPr="007079E3">
              <w:rPr>
                <w:rFonts w:ascii="Segoe UI" w:eastAsia="Times New Roman" w:hAnsi="Segoe UI" w:cs="Segoe UI"/>
                <w:sz w:val="21"/>
                <w:szCs w:val="21"/>
              </w:rPr>
              <w:t>eg</w:t>
            </w:r>
            <w:proofErr w:type="spellEnd"/>
            <w:r w:rsidRPr="007079E3">
              <w:rPr>
                <w:rFonts w:ascii="Segoe UI" w:eastAsia="Times New Roman" w:hAnsi="Segoe UI" w:cs="Segoe UI"/>
                <w:sz w:val="21"/>
                <w:szCs w:val="21"/>
              </w:rPr>
              <w:t xml:space="preserve"> when staff have to go onto ITS</w:t>
            </w:r>
            <w:r>
              <w:rPr>
                <w:rFonts w:ascii="Segoe UI" w:eastAsia="Times New Roman" w:hAnsi="Segoe UI" w:cs="Segoe UI"/>
                <w:sz w:val="21"/>
                <w:szCs w:val="21"/>
              </w:rPr>
              <w:t>?</w:t>
            </w:r>
          </w:p>
        </w:tc>
        <w:tc>
          <w:tcPr>
            <w:tcW w:w="5942" w:type="dxa"/>
          </w:tcPr>
          <w:p w:rsidR="00DB1389" w:rsidRDefault="00DB1389" w:rsidP="00DB1389">
            <w:r w:rsidRPr="007079E3">
              <w:rPr>
                <w:rFonts w:ascii="Segoe UI" w:eastAsia="Times New Roman" w:hAnsi="Segoe UI" w:cs="Segoe UI"/>
                <w:sz w:val="21"/>
                <w:szCs w:val="21"/>
              </w:rPr>
              <w:t>We are trying to get the VPN servers zero-rated, but the mobile network operators are resistant to it at the moment as well as increasing the number of sites being zero-rated.</w:t>
            </w:r>
          </w:p>
        </w:tc>
        <w:tc>
          <w:tcPr>
            <w:tcW w:w="5103" w:type="dxa"/>
          </w:tcPr>
          <w:p w:rsidR="00DB1389" w:rsidRDefault="00DB1389" w:rsidP="00DB1389"/>
        </w:tc>
      </w:tr>
      <w:tr w:rsidR="00DB1389" w:rsidTr="00DB1389">
        <w:tc>
          <w:tcPr>
            <w:tcW w:w="2417" w:type="dxa"/>
          </w:tcPr>
          <w:p w:rsidR="00DB1389" w:rsidRDefault="00DB1389" w:rsidP="00DB1389">
            <w:pPr>
              <w:rPr>
                <w:rFonts w:ascii="Segoe UI" w:eastAsia="Times New Roman" w:hAnsi="Segoe UI" w:cs="Segoe UI"/>
                <w:sz w:val="21"/>
                <w:szCs w:val="21"/>
              </w:rPr>
            </w:pPr>
          </w:p>
        </w:tc>
        <w:tc>
          <w:tcPr>
            <w:tcW w:w="5942" w:type="dxa"/>
          </w:tcPr>
          <w:p w:rsidR="00DB1389" w:rsidRDefault="00DB1389" w:rsidP="00DB1389"/>
        </w:tc>
        <w:tc>
          <w:tcPr>
            <w:tcW w:w="5103" w:type="dxa"/>
          </w:tcPr>
          <w:p w:rsidR="00DB1389" w:rsidRDefault="00DB1389" w:rsidP="00DB1389"/>
        </w:tc>
      </w:tr>
    </w:tbl>
    <w:p w:rsidR="00593977" w:rsidRDefault="00593977"/>
    <w:p w:rsidR="00BD48E2" w:rsidRDefault="00BD48E2"/>
    <w:p w:rsidR="00BD48E2" w:rsidRDefault="00BD48E2" w:rsidP="00BD48E2">
      <w:pPr>
        <w:rPr>
          <w:rFonts w:eastAsia="Times New Roman"/>
          <w:color w:val="000000"/>
          <w:sz w:val="24"/>
          <w:szCs w:val="24"/>
        </w:rPr>
      </w:pPr>
    </w:p>
    <w:p w:rsidR="00BD48E2" w:rsidRDefault="00BD48E2" w:rsidP="00BD48E2">
      <w:pPr>
        <w:rPr>
          <w:rFonts w:eastAsia="Times New Roman"/>
          <w:color w:val="000000"/>
          <w:sz w:val="24"/>
          <w:szCs w:val="24"/>
        </w:rPr>
      </w:pPr>
    </w:p>
    <w:sectPr w:rsidR="00BD48E2" w:rsidSect="00DB13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E0567"/>
    <w:multiLevelType w:val="multilevel"/>
    <w:tmpl w:val="0008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8E2"/>
    <w:rsid w:val="000F4848"/>
    <w:rsid w:val="00152A28"/>
    <w:rsid w:val="004459A8"/>
    <w:rsid w:val="00476838"/>
    <w:rsid w:val="00593977"/>
    <w:rsid w:val="00596967"/>
    <w:rsid w:val="005B5366"/>
    <w:rsid w:val="006672EC"/>
    <w:rsid w:val="007079E3"/>
    <w:rsid w:val="00A11947"/>
    <w:rsid w:val="00BB6975"/>
    <w:rsid w:val="00BD48E2"/>
    <w:rsid w:val="00C84FC8"/>
    <w:rsid w:val="00DB1389"/>
    <w:rsid w:val="00F172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AFEC"/>
  <w15:chartTrackingRefBased/>
  <w15:docId w15:val="{01F1BA09-F57E-4E4A-B7DA-AE1C0F48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8E2"/>
    <w:pPr>
      <w:spacing w:after="0" w:line="240" w:lineRule="auto"/>
    </w:pPr>
    <w:rPr>
      <w:rFonts w:ascii="Calibri" w:hAnsi="Calibri" w:cs="Calibri"/>
      <w:lang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76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872189">
      <w:bodyDiv w:val="1"/>
      <w:marLeft w:val="0"/>
      <w:marRight w:val="0"/>
      <w:marTop w:val="0"/>
      <w:marBottom w:val="0"/>
      <w:divBdr>
        <w:top w:val="none" w:sz="0" w:space="0" w:color="auto"/>
        <w:left w:val="none" w:sz="0" w:space="0" w:color="auto"/>
        <w:bottom w:val="none" w:sz="0" w:space="0" w:color="auto"/>
        <w:right w:val="none" w:sz="0" w:space="0" w:color="auto"/>
      </w:divBdr>
    </w:div>
    <w:div w:id="486898694">
      <w:bodyDiv w:val="1"/>
      <w:marLeft w:val="0"/>
      <w:marRight w:val="0"/>
      <w:marTop w:val="0"/>
      <w:marBottom w:val="0"/>
      <w:divBdr>
        <w:top w:val="none" w:sz="0" w:space="0" w:color="auto"/>
        <w:left w:val="none" w:sz="0" w:space="0" w:color="auto"/>
        <w:bottom w:val="none" w:sz="0" w:space="0" w:color="auto"/>
        <w:right w:val="none" w:sz="0" w:space="0" w:color="auto"/>
      </w:divBdr>
      <w:divsChild>
        <w:div w:id="1972053506">
          <w:marLeft w:val="0"/>
          <w:marRight w:val="0"/>
          <w:marTop w:val="0"/>
          <w:marBottom w:val="0"/>
          <w:divBdr>
            <w:top w:val="none" w:sz="0" w:space="0" w:color="auto"/>
            <w:left w:val="none" w:sz="0" w:space="0" w:color="auto"/>
            <w:bottom w:val="none" w:sz="0" w:space="0" w:color="auto"/>
            <w:right w:val="none" w:sz="0" w:space="0" w:color="auto"/>
          </w:divBdr>
        </w:div>
      </w:divsChild>
    </w:div>
    <w:div w:id="1459958506">
      <w:bodyDiv w:val="1"/>
      <w:marLeft w:val="0"/>
      <w:marRight w:val="0"/>
      <w:marTop w:val="0"/>
      <w:marBottom w:val="0"/>
      <w:divBdr>
        <w:top w:val="none" w:sz="0" w:space="0" w:color="auto"/>
        <w:left w:val="none" w:sz="0" w:space="0" w:color="auto"/>
        <w:bottom w:val="none" w:sz="0" w:space="0" w:color="auto"/>
        <w:right w:val="none" w:sz="0" w:space="0" w:color="auto"/>
      </w:divBdr>
      <w:divsChild>
        <w:div w:id="420684421">
          <w:marLeft w:val="0"/>
          <w:marRight w:val="0"/>
          <w:marTop w:val="0"/>
          <w:marBottom w:val="0"/>
          <w:divBdr>
            <w:top w:val="none" w:sz="0" w:space="0" w:color="auto"/>
            <w:left w:val="none" w:sz="0" w:space="0" w:color="auto"/>
            <w:bottom w:val="none" w:sz="0" w:space="0" w:color="auto"/>
            <w:right w:val="none" w:sz="0" w:space="0" w:color="auto"/>
          </w:divBdr>
          <w:divsChild>
            <w:div w:id="10497068">
              <w:marLeft w:val="0"/>
              <w:marRight w:val="0"/>
              <w:marTop w:val="0"/>
              <w:marBottom w:val="0"/>
              <w:divBdr>
                <w:top w:val="none" w:sz="0" w:space="0" w:color="auto"/>
                <w:left w:val="none" w:sz="0" w:space="0" w:color="auto"/>
                <w:bottom w:val="none" w:sz="0" w:space="0" w:color="auto"/>
                <w:right w:val="none" w:sz="0" w:space="0" w:color="auto"/>
              </w:divBdr>
              <w:divsChild>
                <w:div w:id="1351057133">
                  <w:marLeft w:val="0"/>
                  <w:marRight w:val="0"/>
                  <w:marTop w:val="0"/>
                  <w:marBottom w:val="0"/>
                  <w:divBdr>
                    <w:top w:val="none" w:sz="0" w:space="0" w:color="auto"/>
                    <w:left w:val="none" w:sz="0" w:space="0" w:color="auto"/>
                    <w:bottom w:val="none" w:sz="0" w:space="0" w:color="auto"/>
                    <w:right w:val="none" w:sz="0" w:space="0" w:color="auto"/>
                  </w:divBdr>
                  <w:divsChild>
                    <w:div w:id="1430272063">
                      <w:marLeft w:val="0"/>
                      <w:marRight w:val="0"/>
                      <w:marTop w:val="0"/>
                      <w:marBottom w:val="0"/>
                      <w:divBdr>
                        <w:top w:val="none" w:sz="0" w:space="0" w:color="auto"/>
                        <w:left w:val="none" w:sz="0" w:space="0" w:color="auto"/>
                        <w:bottom w:val="none" w:sz="0" w:space="0" w:color="auto"/>
                        <w:right w:val="none" w:sz="0" w:space="0" w:color="auto"/>
                      </w:divBdr>
                      <w:divsChild>
                        <w:div w:id="2043820692">
                          <w:marLeft w:val="0"/>
                          <w:marRight w:val="0"/>
                          <w:marTop w:val="0"/>
                          <w:marBottom w:val="0"/>
                          <w:divBdr>
                            <w:top w:val="none" w:sz="0" w:space="0" w:color="auto"/>
                            <w:left w:val="none" w:sz="0" w:space="0" w:color="auto"/>
                            <w:bottom w:val="none" w:sz="0" w:space="0" w:color="auto"/>
                            <w:right w:val="none" w:sz="0" w:space="0" w:color="auto"/>
                          </w:divBdr>
                          <w:divsChild>
                            <w:div w:id="1823541599">
                              <w:marLeft w:val="0"/>
                              <w:marRight w:val="0"/>
                              <w:marTop w:val="0"/>
                              <w:marBottom w:val="0"/>
                              <w:divBdr>
                                <w:top w:val="none" w:sz="0" w:space="0" w:color="auto"/>
                                <w:left w:val="none" w:sz="0" w:space="0" w:color="auto"/>
                                <w:bottom w:val="none" w:sz="0" w:space="0" w:color="auto"/>
                                <w:right w:val="none" w:sz="0" w:space="0" w:color="auto"/>
                              </w:divBdr>
                              <w:divsChild>
                                <w:div w:id="63989363">
                                  <w:marLeft w:val="0"/>
                                  <w:marRight w:val="0"/>
                                  <w:marTop w:val="0"/>
                                  <w:marBottom w:val="0"/>
                                  <w:divBdr>
                                    <w:top w:val="none" w:sz="0" w:space="0" w:color="auto"/>
                                    <w:left w:val="none" w:sz="0" w:space="0" w:color="auto"/>
                                    <w:bottom w:val="none" w:sz="0" w:space="0" w:color="auto"/>
                                    <w:right w:val="none" w:sz="0" w:space="0" w:color="auto"/>
                                  </w:divBdr>
                                  <w:divsChild>
                                    <w:div w:id="97013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066878">
      <w:bodyDiv w:val="1"/>
      <w:marLeft w:val="0"/>
      <w:marRight w:val="0"/>
      <w:marTop w:val="0"/>
      <w:marBottom w:val="0"/>
      <w:divBdr>
        <w:top w:val="none" w:sz="0" w:space="0" w:color="auto"/>
        <w:left w:val="none" w:sz="0" w:space="0" w:color="auto"/>
        <w:bottom w:val="none" w:sz="0" w:space="0" w:color="auto"/>
        <w:right w:val="none" w:sz="0" w:space="0" w:color="auto"/>
      </w:divBdr>
    </w:div>
    <w:div w:id="172683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wza.l.nmmu.ac.za" TargetMode="External"/><Relationship Id="rId13" Type="http://schemas.openxmlformats.org/officeDocument/2006/relationships/hyperlink" Target="https://itsweb.mandela.ac.za"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unitube.mandela.ac.za/" TargetMode="External"/><Relationship Id="rId12" Type="http://schemas.openxmlformats.org/officeDocument/2006/relationships/hyperlink" Target="https://webservices.nmmu.ac.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Incoko.mandela.ac.za" TargetMode="External"/><Relationship Id="rId11" Type="http://schemas.openxmlformats.org/officeDocument/2006/relationships/hyperlink" Target="https://students.mandela.ac.za" TargetMode="External"/><Relationship Id="rId5" Type="http://schemas.openxmlformats.org/officeDocument/2006/relationships/hyperlink" Target="https://learn.mandela.ac.za" TargetMode="External"/><Relationship Id="rId15" Type="http://schemas.openxmlformats.org/officeDocument/2006/relationships/hyperlink" Target="https://applyonline.mandela.ac.za" TargetMode="External"/><Relationship Id="rId10" Type="http://schemas.openxmlformats.org/officeDocument/2006/relationships/hyperlink" Target="https://assessment.mandela.ac.za"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mandela.ac.za" TargetMode="External"/><Relationship Id="rId14" Type="http://schemas.openxmlformats.org/officeDocument/2006/relationships/hyperlink" Target="https://webapps.nmmu.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55456AAE2B5B4B9A1343403B086BCC" ma:contentTypeVersion="25" ma:contentTypeDescription="Create a new document." ma:contentTypeScope="" ma:versionID="65636cd0b3f125a95951b527e07cda59">
  <xsd:schema xmlns:xsd="http://www.w3.org/2001/XMLSchema" xmlns:xs="http://www.w3.org/2001/XMLSchema" xmlns:p="http://schemas.microsoft.com/office/2006/metadata/properties" xmlns:ns2="29e972d9-58b5-4d2f-9093-d5f8c7e72fe3" targetNamespace="http://schemas.microsoft.com/office/2006/metadata/properties" ma:root="true" ma:fieldsID="4a6127485a105bfe466c63fcae5bcb90" ns2:_="">
    <xsd:import namespace="29e972d9-58b5-4d2f-9093-d5f8c7e72fe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972d9-58b5-4d2f-9093-d5f8c7e72fe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29e972d9-58b5-4d2f-9093-d5f8c7e72fe3" xsi:nil="true"/>
    <Distribution_Groups xmlns="29e972d9-58b5-4d2f-9093-d5f8c7e72fe3" xsi:nil="true"/>
    <AppVersion xmlns="29e972d9-58b5-4d2f-9093-d5f8c7e72fe3" xsi:nil="true"/>
    <TeamsChannelId xmlns="29e972d9-58b5-4d2f-9093-d5f8c7e72fe3" xsi:nil="true"/>
    <DefaultSectionNames xmlns="29e972d9-58b5-4d2f-9093-d5f8c7e72fe3" xsi:nil="true"/>
    <Is_Collaboration_Space_Locked xmlns="29e972d9-58b5-4d2f-9093-d5f8c7e72fe3" xsi:nil="true"/>
    <Members xmlns="29e972d9-58b5-4d2f-9093-d5f8c7e72fe3">
      <UserInfo>
        <DisplayName/>
        <AccountId xsi:nil="true"/>
        <AccountType/>
      </UserInfo>
    </Members>
    <NotebookType xmlns="29e972d9-58b5-4d2f-9093-d5f8c7e72fe3" xsi:nil="true"/>
    <Invited_Leaders xmlns="29e972d9-58b5-4d2f-9093-d5f8c7e72fe3" xsi:nil="true"/>
    <FolderType xmlns="29e972d9-58b5-4d2f-9093-d5f8c7e72fe3" xsi:nil="true"/>
    <CultureName xmlns="29e972d9-58b5-4d2f-9093-d5f8c7e72fe3" xsi:nil="true"/>
    <Owner xmlns="29e972d9-58b5-4d2f-9093-d5f8c7e72fe3">
      <UserInfo>
        <DisplayName/>
        <AccountId xsi:nil="true"/>
        <AccountType/>
      </UserInfo>
    </Owner>
    <LMS_Mappings xmlns="29e972d9-58b5-4d2f-9093-d5f8c7e72fe3" xsi:nil="true"/>
    <IsNotebookLocked xmlns="29e972d9-58b5-4d2f-9093-d5f8c7e72fe3" xsi:nil="true"/>
    <Invited_Members xmlns="29e972d9-58b5-4d2f-9093-d5f8c7e72fe3" xsi:nil="true"/>
    <Math_Settings xmlns="29e972d9-58b5-4d2f-9093-d5f8c7e72fe3" xsi:nil="true"/>
    <Has_Leaders_Only_SectionGroup xmlns="29e972d9-58b5-4d2f-9093-d5f8c7e72fe3" xsi:nil="true"/>
    <Leaders xmlns="29e972d9-58b5-4d2f-9093-d5f8c7e72fe3">
      <UserInfo>
        <DisplayName/>
        <AccountId xsi:nil="true"/>
        <AccountType/>
      </UserInfo>
    </Leaders>
    <Member_Groups xmlns="29e972d9-58b5-4d2f-9093-d5f8c7e72fe3">
      <UserInfo>
        <DisplayName/>
        <AccountId xsi:nil="true"/>
        <AccountType/>
      </UserInfo>
    </Member_Groups>
    <Self_Registration_Enabled xmlns="29e972d9-58b5-4d2f-9093-d5f8c7e72fe3" xsi:nil="true"/>
  </documentManagement>
</p:properties>
</file>

<file path=customXml/itemProps1.xml><?xml version="1.0" encoding="utf-8"?>
<ds:datastoreItem xmlns:ds="http://schemas.openxmlformats.org/officeDocument/2006/customXml" ds:itemID="{8C708F5F-541A-403F-893F-2C39AF738EF6}"/>
</file>

<file path=customXml/itemProps2.xml><?xml version="1.0" encoding="utf-8"?>
<ds:datastoreItem xmlns:ds="http://schemas.openxmlformats.org/officeDocument/2006/customXml" ds:itemID="{2694BF58-A687-423F-8A28-321729FDB463}"/>
</file>

<file path=customXml/itemProps3.xml><?xml version="1.0" encoding="utf-8"?>
<ds:datastoreItem xmlns:ds="http://schemas.openxmlformats.org/officeDocument/2006/customXml" ds:itemID="{71E2A689-9ADC-4E86-B92B-E73981A123B2}"/>
</file>

<file path=docProps/app.xml><?xml version="1.0" encoding="utf-8"?>
<Properties xmlns="http://schemas.openxmlformats.org/officeDocument/2006/extended-properties" xmlns:vt="http://schemas.openxmlformats.org/officeDocument/2006/docPropsVTypes">
  <Template>Normal.dotm</Template>
  <TotalTime>1542</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Nelson Mandela University</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Petratos, Sue (Dr) (Summerstrand Campus North)</dc:creator>
  <cp:keywords/>
  <dc:description/>
  <cp:lastModifiedBy>Petratos, Sue (Dr) (Summerstrand Campus North)</cp:lastModifiedBy>
  <cp:revision>4</cp:revision>
  <dcterms:created xsi:type="dcterms:W3CDTF">2020-04-22T08:22:00Z</dcterms:created>
  <dcterms:modified xsi:type="dcterms:W3CDTF">2020-04-24T12:41:00Z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0x0101006455456AAE2B5B4B9A1343403B086BCC</vt:lpwstr>
  </property>
</Properties>
</file>